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828" w:rsidRPr="00E6134D" w:rsidRDefault="00BD2828" w:rsidP="00E6134D">
      <w:pPr>
        <w:spacing w:line="240" w:lineRule="auto"/>
        <w:jc w:val="both"/>
        <w:rPr>
          <w:rFonts w:asciiTheme="minorHAnsi" w:eastAsia="Times New Roman" w:hAnsiTheme="minorHAnsi" w:cstheme="minorHAnsi"/>
          <w:b/>
          <w:bCs/>
          <w:sz w:val="28"/>
          <w:szCs w:val="24"/>
          <w:lang w:val="bg-BG" w:eastAsia="en-GB"/>
        </w:rPr>
      </w:pPr>
      <w:r w:rsidRPr="00E6134D">
        <w:rPr>
          <w:rFonts w:asciiTheme="minorHAnsi" w:eastAsia="Times New Roman" w:hAnsiTheme="minorHAnsi" w:cstheme="minorHAnsi"/>
          <w:b/>
          <w:bCs/>
          <w:sz w:val="28"/>
          <w:szCs w:val="24"/>
          <w:lang w:eastAsia="en-GB"/>
        </w:rPr>
        <w:t>ИНТЕЛ</w:t>
      </w:r>
      <w:r w:rsidRPr="00E6134D">
        <w:rPr>
          <w:rFonts w:asciiTheme="minorHAnsi" w:eastAsia="Times New Roman" w:hAnsiTheme="minorHAnsi" w:cstheme="minorHAnsi"/>
          <w:b/>
          <w:bCs/>
          <w:sz w:val="28"/>
          <w:szCs w:val="24"/>
          <w:lang w:val="bg-BG" w:eastAsia="en-GB"/>
        </w:rPr>
        <w:t>И</w:t>
      </w:r>
      <w:r w:rsidRPr="00E6134D">
        <w:rPr>
          <w:rFonts w:asciiTheme="minorHAnsi" w:eastAsia="Times New Roman" w:hAnsiTheme="minorHAnsi" w:cstheme="minorHAnsi"/>
          <w:b/>
          <w:bCs/>
          <w:sz w:val="28"/>
          <w:szCs w:val="24"/>
          <w:lang w:eastAsia="en-GB"/>
        </w:rPr>
        <w:t>ГЕНТНИ ХИДРОГЕЛОВЕ В АПТЕЧНАТА ПРАКТИКА: ОТ ТЕОРИЯТА ДО ПРИГОТВЯНЕТО</w:t>
      </w:r>
      <w:r w:rsidR="008603B2" w:rsidRPr="00E6134D">
        <w:rPr>
          <w:rFonts w:asciiTheme="minorHAnsi" w:eastAsia="Times New Roman" w:hAnsiTheme="minorHAnsi" w:cstheme="minorHAnsi"/>
          <w:b/>
          <w:bCs/>
          <w:sz w:val="28"/>
          <w:szCs w:val="24"/>
          <w:lang w:val="bg-BG" w:eastAsia="en-GB"/>
        </w:rPr>
        <w:t xml:space="preserve"> И ПРИЛОЖЕНИЕТО</w:t>
      </w:r>
    </w:p>
    <w:p w:rsidR="005C4E3A" w:rsidRPr="00E6134D" w:rsidRDefault="00BD2828" w:rsidP="00E6134D">
      <w:pPr>
        <w:spacing w:line="240" w:lineRule="auto"/>
        <w:jc w:val="both"/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</w:pP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Стимул-чувствителните </w:t>
      </w:r>
      <w:r w:rsidR="00AD00CF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хидрогелове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и структурираните бигелове </w:t>
      </w:r>
      <w:r w:rsidR="00AD00CF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с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а съвременно направление във фармацевтичната технология. Те осигуряват възможност за прецизиране на лекарственото освобождаване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и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повишаване на ефикаснос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т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та. Благодарение на своята технологична пластичност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, те притежават потенциал за универсално приложение чрез различни пътища на въвеждане в организма, включително </w:t>
      </w:r>
      <w:r w:rsidR="00AD00CF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очно, назално, дермално, перорално и парентерално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)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. Същевременно подобряват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паци</w:t>
      </w:r>
      <w:r w:rsidR="00AD00CF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ентския къмплайънс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и комфорт по време на лечението</w:t>
      </w:r>
    </w:p>
    <w:p w:rsidR="005C4E3A" w:rsidRPr="00E6134D" w:rsidRDefault="00AD00CF" w:rsidP="00E6134D">
      <w:pPr>
        <w:spacing w:line="240" w:lineRule="auto"/>
        <w:jc w:val="both"/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</w:pP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Настоящият уъркшоп е насочен към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д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етайлно запознаване на заинтересованите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магистър-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фармацевти с иновативните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теоретични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концепции и неоспоримите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практически 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предимства в областта на „умните хидрогелове“ и двуфазните бигелови системи. В рамките на уводната теоретична част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(с продължителност около 20 минути) детайлно 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ще бъдат разгледани фундаменталните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физикохимични механизми, обуславящи фазовия преход от течно състояние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към гел (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en-US" w:eastAsia="en-GB"/>
        </w:rPr>
        <w:t>sol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-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en-US" w:eastAsia="en-GB"/>
        </w:rPr>
        <w:t>gel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) под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прякото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въздействие на физиологични стимули (рН, температура, йонна сила)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. Освен това ще бъдат представени най-често използваните в практиката природни и синтетични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полимери, както и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специфичната триизмерна структурна архитектура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на бигеловете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, съчетаваща хидрофилни и липофилн домени</w:t>
      </w: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.</w:t>
      </w:r>
    </w:p>
    <w:p w:rsidR="00BD2828" w:rsidRPr="00E6134D" w:rsidRDefault="00AD00CF" w:rsidP="00E6134D">
      <w:pPr>
        <w:spacing w:line="240" w:lineRule="auto"/>
        <w:jc w:val="both"/>
        <w:rPr>
          <w:rFonts w:asciiTheme="minorHAnsi" w:eastAsia="Times New Roman" w:hAnsiTheme="minorHAnsi" w:cstheme="minorHAnsi"/>
          <w:sz w:val="28"/>
          <w:szCs w:val="24"/>
          <w:lang w:val="bg-BG" w:eastAsia="en-GB"/>
        </w:rPr>
      </w:pPr>
      <w:r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Основният акцент на събитието е поставен върху последващата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40-минутна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практическа демонстрация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в реално време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. По време на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този практически модул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участниците ще имат възможността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лично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да се включат в приготвяне</w:t>
      </w:r>
      <w:r w:rsidR="009B26DC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то на различни стимул-чувствите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лни </w:t>
      </w:r>
      <w:proofErr w:type="spellStart"/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хидрогелове</w:t>
      </w:r>
      <w:proofErr w:type="spellEnd"/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, както и бигелове чрез подходящи техники.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В хода на демонстрацията ще бъдат нагледно представени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основни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те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функционални характеристики на системите като кинетика на желиране и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различните критични 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фактори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(концентрация на полимера, съотношение на фазите, рН на средата)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, които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оказват пряко влияние</w:t>
      </w:r>
      <w:r w:rsidR="00077D44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 върху нея. </w:t>
      </w:r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>Финалната част ще бъде посветена на практическите предизвикателства, свързани с правилното включване на различни по разтворимост лекарствени вещества, с цел гарантиране на оптимална физикохимична стабилност, микробилогично качество и тер</w:t>
      </w:r>
      <w:bookmarkStart w:id="0" w:name="_GoBack"/>
      <w:bookmarkEnd w:id="0"/>
      <w:r w:rsidR="005C4E3A" w:rsidRPr="00E6134D">
        <w:rPr>
          <w:rFonts w:asciiTheme="minorHAnsi" w:eastAsia="Times New Roman" w:hAnsiTheme="minorHAnsi" w:cstheme="minorHAnsi"/>
          <w:bCs/>
          <w:sz w:val="28"/>
          <w:szCs w:val="24"/>
          <w:lang w:val="bg-BG" w:eastAsia="en-GB"/>
        </w:rPr>
        <w:t xml:space="preserve">апевтична ефикасност на готовите лекарствени форми в аптечин условия. </w:t>
      </w:r>
    </w:p>
    <w:p w:rsidR="006E533D" w:rsidRPr="00E6134D" w:rsidRDefault="006E533D" w:rsidP="00E6134D">
      <w:pPr>
        <w:jc w:val="both"/>
        <w:rPr>
          <w:rFonts w:asciiTheme="minorHAnsi" w:hAnsiTheme="minorHAnsi" w:cstheme="minorHAnsi"/>
          <w:sz w:val="28"/>
          <w:lang w:val="bg-BG"/>
        </w:rPr>
      </w:pPr>
    </w:p>
    <w:sectPr w:rsidR="006E533D" w:rsidRPr="00E613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828"/>
    <w:rsid w:val="00077D44"/>
    <w:rsid w:val="003F3200"/>
    <w:rsid w:val="005C4E3A"/>
    <w:rsid w:val="006E533D"/>
    <w:rsid w:val="008603B2"/>
    <w:rsid w:val="009B26DC"/>
    <w:rsid w:val="00AD00CF"/>
    <w:rsid w:val="00BD2828"/>
    <w:rsid w:val="00E6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C05C15-FEFF-4440-B5B8-26DA0C3D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200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D2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7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6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51732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86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3370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74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86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0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332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6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0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3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49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4357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87149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4830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6041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16665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063276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93045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314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84510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62566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756871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7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2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09096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75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0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90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149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74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57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2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8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08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58712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79672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809573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0587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3146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28719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6867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5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3054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17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45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936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7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1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20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05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94892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699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94752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285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48959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412930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552535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9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77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7749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70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44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8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808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8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7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8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66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2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9875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93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8753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49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242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449416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331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288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409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932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736853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70374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0847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055808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804073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06677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14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613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85944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736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49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90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41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391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770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305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186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9287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3123488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4782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7818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098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3991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4554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3957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04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684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249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029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6405406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1760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318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97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955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1619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3424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659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573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6764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9670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1334341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4424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19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502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0318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6494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9403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27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073539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3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48771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65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02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26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111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2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6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4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69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542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110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817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5652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60574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5922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02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2239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89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3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75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7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13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7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99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5222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812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837974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8698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94471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76043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110821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2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020102">
                              <w:marLeft w:val="4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44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6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99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7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5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316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9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8868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22977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916606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651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95562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04768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765853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1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90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82744">
                              <w:marLeft w:val="758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49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851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47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45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50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8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58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131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6924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36234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Slavkova</dc:creator>
  <cp:keywords/>
  <dc:description/>
  <cp:lastModifiedBy>Microsoft account</cp:lastModifiedBy>
  <cp:revision>2</cp:revision>
  <dcterms:created xsi:type="dcterms:W3CDTF">2026-09-03T11:15:00Z</dcterms:created>
  <dcterms:modified xsi:type="dcterms:W3CDTF">2026-09-03T11:15:00Z</dcterms:modified>
</cp:coreProperties>
</file>